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3FFF585" w14:textId="77777777" w:rsidR="001866FD" w:rsidRDefault="001866FD" w:rsidP="001866FD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Discorso di papa Francesco </w:t>
      </w:r>
      <w:r w:rsidR="003D7929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alla Comunità Valdese di Torino</w:t>
      </w:r>
    </w:p>
    <w:p w14:paraId="5D7AB453" w14:textId="77777777" w:rsidR="001866FD" w:rsidRDefault="001866FD" w:rsidP="001866FD">
      <w:pPr>
        <w:spacing w:line="240" w:lineRule="auto"/>
        <w:jc w:val="center"/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 xml:space="preserve">Caserta, </w:t>
      </w:r>
      <w:r w:rsidR="003D7929"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22 giugno 2015</w:t>
      </w:r>
    </w:p>
    <w:p w14:paraId="4764B928" w14:textId="77777777" w:rsidR="001866FD" w:rsidRDefault="001866FD" w:rsidP="001866FD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18"/>
          <w:szCs w:val="18"/>
          <w:vertAlign w:val="subscript"/>
        </w:rPr>
      </w:pPr>
    </w:p>
    <w:p w14:paraId="7E2007AC" w14:textId="77777777" w:rsidR="003D7929" w:rsidRDefault="003D7929" w:rsidP="00186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7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Uno dei principali frutti che il movimento ecumenico ha già permesso di raccogliere in questi anni è la riscoperta della fraternità che unisce tutti </w:t>
      </w:r>
      <w:proofErr w:type="gramStart"/>
      <w:r w:rsidRPr="003D7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coloro</w:t>
      </w:r>
      <w:proofErr w:type="gramEnd"/>
      <w:r w:rsidRPr="003D7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che credono in Gesù Cristo e sono stati battezzati nel suo nome. Questo legame non è basato su criteri semplicemente umani, ma sulla radicale condivisione dell’esperienza fondante della vita cristiana: l’incontro con l’amore di Dio che si rivela a noi in Gesù Cristo e l’azione trasformante dello Spirito Santo che ci assiste nel cammino della vita. La riscoperta di tale fraternità ci consente di cogliere il profondo legame che già ci unisce, </w:t>
      </w:r>
      <w:proofErr w:type="gramStart"/>
      <w:r w:rsidRPr="003D7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malgrado</w:t>
      </w:r>
      <w:proofErr w:type="gramEnd"/>
      <w:r w:rsidRPr="003D7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nostre differenze. </w:t>
      </w:r>
    </w:p>
    <w:p w14:paraId="2DD35104" w14:textId="77777777" w:rsidR="001866FD" w:rsidRDefault="001866FD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1ED7BFED" w14:textId="77777777" w:rsidR="001866FD" w:rsidRDefault="001866FD" w:rsidP="001866FD">
      <w:pPr>
        <w:rPr>
          <w:rFonts w:ascii="AR BLANCA" w:hAnsi="AR BLANCA"/>
          <w:b/>
          <w:sz w:val="40"/>
          <w:szCs w:val="40"/>
        </w:rPr>
      </w:pPr>
      <w:r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55EAA6C9" w14:textId="77777777" w:rsidR="008F13C6" w:rsidRDefault="008F13C6" w:rsidP="008F13C6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pregando per il servizio alla comunione umana da parte di coloro che ci </w:t>
      </w:r>
      <w:proofErr w:type="gramStart"/>
      <w:r>
        <w:rPr>
          <w:rFonts w:ascii="AR BLANCA" w:hAnsi="AR BLANCA"/>
        </w:rPr>
        <w:t>governano</w:t>
      </w:r>
      <w:proofErr w:type="gramEnd"/>
    </w:p>
    <w:p w14:paraId="260D55FF" w14:textId="77777777" w:rsidR="001866FD" w:rsidRDefault="001866FD" w:rsidP="001866FD">
      <w:pPr>
        <w:jc w:val="center"/>
        <w:rPr>
          <w:rFonts w:ascii="AR BLANCA" w:hAnsi="AR BLANCA"/>
        </w:rPr>
      </w:pPr>
    </w:p>
    <w:p w14:paraId="68A8DD78" w14:textId="77777777" w:rsidR="001866FD" w:rsidRDefault="003D7929" w:rsidP="001866FD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 xml:space="preserve">Giugno – Luglio </w:t>
      </w:r>
      <w:r w:rsidR="001866FD">
        <w:rPr>
          <w:rFonts w:ascii="Baskerville Old Face" w:hAnsi="Baskerville Old Face"/>
          <w:i/>
        </w:rPr>
        <w:t>2017</w:t>
      </w:r>
    </w:p>
    <w:p w14:paraId="31452986" w14:textId="77777777" w:rsidR="001866FD" w:rsidRDefault="001866FD" w:rsidP="001866FD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1E0898E5" wp14:editId="4ADE5C10">
            <wp:extent cx="883285" cy="975995"/>
            <wp:effectExtent l="19050" t="0" r="0" b="0"/>
            <wp:docPr id="1" name="Immagine 2" descr="ut-omnes-unum-s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t-omnes-unum-si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6C6DB" w14:textId="77777777" w:rsidR="003D7929" w:rsidRDefault="003D7929" w:rsidP="001866FD">
      <w:pPr>
        <w:jc w:val="center"/>
        <w:rPr>
          <w:rFonts w:ascii="Baskerville Old Face" w:hAnsi="Baskerville Old Face"/>
          <w:i/>
        </w:rPr>
      </w:pPr>
    </w:p>
    <w:p w14:paraId="2D179CD9" w14:textId="77777777" w:rsidR="003D7929" w:rsidRDefault="001866FD" w:rsidP="001866FD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«</w:t>
      </w:r>
      <w:r w:rsidR="003D7929">
        <w:rPr>
          <w:rFonts w:ascii="Times New Roman" w:hAnsi="Times New Roman" w:cs="Times New Roman"/>
          <w:color w:val="990000"/>
          <w:sz w:val="20"/>
          <w:szCs w:val="20"/>
          <w:shd w:val="clear" w:color="auto" w:fill="FFFFFF"/>
          <w:vertAlign w:val="superscript"/>
        </w:rPr>
        <w:t>3</w:t>
      </w:r>
      <w:r w:rsidR="003D7929">
        <w:rPr>
          <w:rFonts w:ascii="Times New Roman" w:hAnsi="Times New Roman" w:cs="Times New Roman"/>
          <w:color w:val="990000"/>
          <w:sz w:val="20"/>
          <w:szCs w:val="20"/>
          <w:shd w:val="clear" w:color="auto" w:fill="FFFFFF"/>
        </w:rPr>
        <w:t xml:space="preserve"> </w:t>
      </w:r>
      <w:r w:rsidR="003D7929" w:rsidRPr="003D7929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I governanti</w:t>
      </w:r>
      <w:proofErr w:type="gramStart"/>
      <w:r w:rsidR="003D7929" w:rsidRPr="003D7929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 xml:space="preserve"> infatti</w:t>
      </w:r>
      <w:proofErr w:type="gramEnd"/>
      <w:r w:rsidR="003D7929" w:rsidRPr="003D7929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 xml:space="preserve"> non sono da temere quando si fa il bene, ma quando si fa il male. Vuoi non aver paura dell’autorità? Fa’ il bene e ne avrai lode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».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</w:t>
      </w:r>
      <w:proofErr w:type="gramEnd"/>
    </w:p>
    <w:p w14:paraId="7DE8E9C6" w14:textId="77777777" w:rsidR="001866FD" w:rsidRPr="008F13C6" w:rsidRDefault="001866FD" w:rsidP="008F13C6">
      <w:pPr>
        <w:jc w:val="righ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(</w:t>
      </w:r>
      <w:proofErr w:type="spellStart"/>
      <w:r w:rsidR="003D7929">
        <w:rPr>
          <w:rFonts w:ascii="Times New Roman" w:hAnsi="Times New Roman" w:cs="Times New Roman"/>
          <w:color w:val="222222"/>
          <w:shd w:val="clear" w:color="auto" w:fill="FFFFFF"/>
        </w:rPr>
        <w:t>Rm</w:t>
      </w:r>
      <w:proofErr w:type="spellEnd"/>
      <w:r w:rsidR="003D7929">
        <w:rPr>
          <w:rFonts w:ascii="Times New Roman" w:hAnsi="Times New Roman" w:cs="Times New Roman"/>
          <w:color w:val="222222"/>
          <w:shd w:val="clear" w:color="auto" w:fill="FFFFFF"/>
        </w:rPr>
        <w:t xml:space="preserve"> 13,3</w:t>
      </w:r>
      <w:r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p w14:paraId="6B5D52EE" w14:textId="77777777" w:rsidR="001866FD" w:rsidRDefault="001866FD" w:rsidP="0018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Eleviamo la nostra preghiera e con fede diciamo:</w:t>
      </w:r>
    </w:p>
    <w:p w14:paraId="764353FE" w14:textId="77777777" w:rsidR="001866FD" w:rsidRDefault="001866FD" w:rsidP="0018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Vieni</w:t>
      </w:r>
      <w:proofErr w:type="gramEnd"/>
      <w:r>
        <w:rPr>
          <w:rFonts w:ascii="Times New Roman" w:hAnsi="Times New Roman" w:cs="Times New Roman"/>
          <w:b/>
        </w:rPr>
        <w:t xml:space="preserve"> Spirito Santo!</w:t>
      </w:r>
    </w:p>
    <w:p w14:paraId="0FFA27E5" w14:textId="77777777" w:rsidR="001866FD" w:rsidRDefault="004F7B0E" w:rsidP="001866FD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3D7929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Per </w:t>
      </w:r>
      <w:proofErr w:type="gramStart"/>
      <w:r w:rsidRPr="003D7929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coloro che reggono</w:t>
      </w:r>
      <w:proofErr w:type="gramEnd"/>
      <w:r w:rsidRPr="003D7929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 e governano le nazioni, perché sappiano collaborare all’edificazione di un mondo più giusto, ricco di pace e tolleranza. Preghiamo. </w:t>
      </w:r>
    </w:p>
    <w:p w14:paraId="0AD92FF8" w14:textId="77777777" w:rsidR="003D7929" w:rsidRPr="003D7929" w:rsidRDefault="003D7929" w:rsidP="003D7929">
      <w:pPr>
        <w:pStyle w:val="Paragrafoelenco"/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9120447" w14:textId="77777777" w:rsidR="001866FD" w:rsidRPr="003D7929" w:rsidRDefault="004F7B0E" w:rsidP="001866FD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3D7929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Per la Chiesa Valdese, perché apra il cuore all’azione dello Spirito e viva in modo coerente con il Vangelo. Preghiamo.</w:t>
      </w:r>
    </w:p>
    <w:p w14:paraId="533AE0B3" w14:textId="77777777" w:rsidR="001866FD" w:rsidRDefault="005E7DE0" w:rsidP="001866FD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  <w:r>
        <w:pict w14:anchorId="4F7EA79B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14.25pt;margin-top:23.25pt;width:229.5pt;height:137.45pt;z-index:251658240;mso-width-relative:margin;mso-height-relative:margin">
            <v:textbox>
              <w:txbxContent>
                <w:p w14:paraId="48F0BE53" w14:textId="77777777" w:rsidR="001866FD" w:rsidRPr="003D7929" w:rsidRDefault="003D7929" w:rsidP="003D7929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La Chiesa Evangelica Valdese nacque a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7" w:tooltip="Lione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Lione</w:t>
                    </w:r>
                  </w:hyperlink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nel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8" w:tooltip="XII secolo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XII secolo</w:t>
                    </w:r>
                  </w:hyperlink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con gli insegnamenti di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9" w:tooltip="Valdo di Lione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Valdo di Lione</w:t>
                    </w:r>
                  </w:hyperlink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(Lione, 1140 – 1206 circa). I valdesi sono diffusi soprattutto in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0" w:tooltip="Piemonte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Piemonte</w:t>
                    </w:r>
                  </w:hyperlink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dove contano 41 chiese (120 in tutta Italia) di cui 18 nelle cosiddette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1" w:tooltip="Valli valdesi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valli valdesi</w:t>
                    </w:r>
                  </w:hyperlink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ed hanno il loro centro a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2" w:tooltip="Torre Pellice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Torre Pellice</w:t>
                    </w:r>
                  </w:hyperlink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in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3" w:tooltip="Provincia di Torino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provincia di Torino</w:t>
                    </w:r>
                  </w:hyperlink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14:paraId="14CB02C1" w14:textId="77777777" w:rsidR="001866FD" w:rsidRDefault="001866FD" w:rsidP="001866FD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4B3563C7" w14:textId="77777777" w:rsidR="001866FD" w:rsidRDefault="001866FD" w:rsidP="001866FD">
      <w:pPr>
        <w:pStyle w:val="Paragrafoelenco"/>
        <w:numPr>
          <w:ilvl w:val="0"/>
          <w:numId w:val="1"/>
        </w:numPr>
        <w:rPr>
          <w:rStyle w:val="Enfasigrassetto"/>
          <w:b w:val="0"/>
          <w:color w:val="000000"/>
          <w:sz w:val="24"/>
          <w:szCs w:val="24"/>
        </w:rPr>
      </w:pPr>
    </w:p>
    <w:p w14:paraId="5A41B5F0" w14:textId="77777777" w:rsidR="001866FD" w:rsidRDefault="001866FD" w:rsidP="001866FD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25EDA091" w14:textId="77777777" w:rsidR="001866FD" w:rsidRDefault="001866FD" w:rsidP="001866FD">
      <w:pPr>
        <w:jc w:val="center"/>
        <w:rPr>
          <w:rStyle w:val="Enfasigrassetto"/>
          <w:color w:val="000000"/>
          <w:sz w:val="23"/>
          <w:szCs w:val="23"/>
        </w:rPr>
      </w:pPr>
    </w:p>
    <w:p w14:paraId="28358F21" w14:textId="77777777" w:rsidR="001866FD" w:rsidRDefault="001866FD" w:rsidP="001866FD">
      <w:pPr>
        <w:spacing w:line="240" w:lineRule="auto"/>
        <w:rPr>
          <w:rStyle w:val="Enfasigrassetto"/>
          <w:color w:val="000000"/>
          <w:sz w:val="23"/>
          <w:szCs w:val="23"/>
        </w:rPr>
      </w:pPr>
    </w:p>
    <w:p w14:paraId="29C09E29" w14:textId="77777777" w:rsidR="001866FD" w:rsidRDefault="001866FD" w:rsidP="005E7DE0">
      <w:pPr>
        <w:spacing w:line="240" w:lineRule="auto"/>
        <w:jc w:val="center"/>
        <w:rPr>
          <w:rStyle w:val="Enfasigrassetto"/>
          <w:color w:val="000000"/>
          <w:sz w:val="23"/>
          <w:szCs w:val="23"/>
          <w:vertAlign w:val="subscript"/>
        </w:rPr>
      </w:pPr>
      <w:r>
        <w:rPr>
          <w:rStyle w:val="Enfasigrassetto"/>
          <w:color w:val="000000"/>
          <w:sz w:val="23"/>
          <w:szCs w:val="23"/>
        </w:rPr>
        <w:lastRenderedPageBreak/>
        <w:t>Preghiera per l’unità dei Cristiani</w:t>
      </w:r>
    </w:p>
    <w:p w14:paraId="5D805512" w14:textId="77777777" w:rsidR="001866FD" w:rsidRDefault="001866FD" w:rsidP="001866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(Paul Couturier)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1F4C8D00" w14:textId="77777777" w:rsidR="005E7DE0" w:rsidRDefault="001866FD" w:rsidP="001866FD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Book Antiqua" w:hAnsi="Book Antiqua" w:cs="Arial"/>
          <w:color w:val="000000"/>
        </w:rPr>
        <w:t xml:space="preserve">Signore Gesù Cristo, che alla vigilia della tua </w:t>
      </w:r>
      <w:bookmarkStart w:id="0" w:name="_GoBack"/>
      <w:bookmarkEnd w:id="0"/>
      <w:r>
        <w:rPr>
          <w:rFonts w:ascii="Book Antiqua" w:hAnsi="Book Antiqua" w:cs="Arial"/>
          <w:color w:val="000000"/>
        </w:rPr>
        <w:t xml:space="preserve">passione hai pregato perché tutti i tuoi discepoli fossero uniti perfettamente come </w:t>
      </w:r>
      <w:proofErr w:type="gramStart"/>
      <w:r>
        <w:rPr>
          <w:rFonts w:ascii="Book Antiqua" w:hAnsi="Book Antiqua" w:cs="Arial"/>
          <w:color w:val="000000"/>
        </w:rPr>
        <w:t>tu</w:t>
      </w:r>
      <w:proofErr w:type="gramEnd"/>
      <w:r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 e di mutua astiosità. Concedici la grazia di poter incontrare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mezzi che tu vuoi. In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56C9FD55" w14:textId="77777777" w:rsidR="00543599" w:rsidRPr="005E7DE0" w:rsidRDefault="001866FD" w:rsidP="001866FD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 xml:space="preserve">*presbitero francese </w:t>
      </w:r>
      <w:r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543599" w:rsidRPr="005E7DE0" w:rsidSect="001866FD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6FD"/>
    <w:rsid w:val="001866FD"/>
    <w:rsid w:val="00206BAF"/>
    <w:rsid w:val="003D7929"/>
    <w:rsid w:val="004F7B0E"/>
    <w:rsid w:val="005256E6"/>
    <w:rsid w:val="00543599"/>
    <w:rsid w:val="005E7DE0"/>
    <w:rsid w:val="006B16F9"/>
    <w:rsid w:val="008F13C6"/>
    <w:rsid w:val="00B0424D"/>
    <w:rsid w:val="00C05FC3"/>
    <w:rsid w:val="00E46B8B"/>
    <w:rsid w:val="00F3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89F6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6F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866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66FD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1866FD"/>
  </w:style>
  <w:style w:type="character" w:styleId="Enfasigrassetto">
    <w:name w:val="Strong"/>
    <w:basedOn w:val="Caratterepredefinitoparagrafo"/>
    <w:uiPriority w:val="22"/>
    <w:qFormat/>
    <w:rsid w:val="001866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6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t.wikipedia.org/wiki/Valli_valdesi" TargetMode="External"/><Relationship Id="rId12" Type="http://schemas.openxmlformats.org/officeDocument/2006/relationships/hyperlink" Target="https://it.wikipedia.org/wiki/Torre_Pellice" TargetMode="External"/><Relationship Id="rId13" Type="http://schemas.openxmlformats.org/officeDocument/2006/relationships/hyperlink" Target="https://it.wikipedia.org/wiki/Provincia_di_Torino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it.wikipedia.org/wiki/Lione" TargetMode="External"/><Relationship Id="rId8" Type="http://schemas.openxmlformats.org/officeDocument/2006/relationships/hyperlink" Target="https://it.wikipedia.org/wiki/XII_secolo" TargetMode="External"/><Relationship Id="rId9" Type="http://schemas.openxmlformats.org/officeDocument/2006/relationships/hyperlink" Target="https://it.wikipedia.org/wiki/Valdo_di_Lione" TargetMode="External"/><Relationship Id="rId10" Type="http://schemas.openxmlformats.org/officeDocument/2006/relationships/hyperlink" Target="https://it.wikipedia.org/wiki/Piemont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342</Words>
  <Characters>1954</Characters>
  <Application>Microsoft Macintosh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5</cp:revision>
  <cp:lastPrinted>2017-05-29T07:11:00Z</cp:lastPrinted>
  <dcterms:created xsi:type="dcterms:W3CDTF">2017-05-14T14:09:00Z</dcterms:created>
  <dcterms:modified xsi:type="dcterms:W3CDTF">2017-05-29T07:12:00Z</dcterms:modified>
</cp:coreProperties>
</file>